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01A6" w14:textId="77777777" w:rsidR="00DB1387" w:rsidRDefault="00DB1387" w:rsidP="00DB1387">
      <w:pPr>
        <w:pStyle w:val="Header"/>
        <w:rPr>
          <w:lang w:val="it-IT"/>
        </w:rPr>
      </w:pPr>
      <w:r w:rsidRPr="003C3CD7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1B3FCAA" wp14:editId="70F0B82F">
            <wp:simplePos x="0" y="0"/>
            <wp:positionH relativeFrom="column">
              <wp:posOffset>-355600</wp:posOffset>
            </wp:positionH>
            <wp:positionV relativeFrom="paragraph">
              <wp:posOffset>-29210</wp:posOffset>
            </wp:positionV>
            <wp:extent cx="2504908" cy="771525"/>
            <wp:effectExtent l="0" t="0" r="0" b="0"/>
            <wp:wrapNone/>
            <wp:docPr id="2" name="Picture 2" descr="E:\Academic services\Language Centre (L)\NewAblage\8 Sito Internet &amp; Cockpit\LOGO UNIBZ\unibz_trilingual_blu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cademic services\Language Centre (L)\NewAblage\8 Sito Internet &amp; Cockpit\LOGO UNIBZ\unibz_trilingual_blue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0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41D49" w14:textId="77777777" w:rsidR="00DB1387" w:rsidRPr="00E51C88" w:rsidRDefault="00DB1387" w:rsidP="00DB1387">
      <w:pPr>
        <w:pStyle w:val="Footer"/>
        <w:tabs>
          <w:tab w:val="clear" w:pos="9026"/>
          <w:tab w:val="right" w:pos="10260"/>
        </w:tabs>
        <w:rPr>
          <w:rFonts w:ascii="Tahoma" w:hAnsi="Tahoma" w:cs="Tahoma"/>
          <w:b/>
          <w:sz w:val="16"/>
          <w:szCs w:val="18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proofErr w:type="spellStart"/>
      <w:r w:rsidRPr="00E51C88">
        <w:rPr>
          <w:rFonts w:ascii="Tahoma" w:hAnsi="Tahoma" w:cs="Tahoma"/>
          <w:b/>
          <w:sz w:val="16"/>
          <w:szCs w:val="18"/>
          <w:lang w:val="it-IT"/>
        </w:rPr>
        <w:t>Sprachenzentrum</w:t>
      </w:r>
      <w:proofErr w:type="spellEnd"/>
    </w:p>
    <w:p w14:paraId="47E46D82" w14:textId="77777777" w:rsidR="00DB1387" w:rsidRPr="00E51C88" w:rsidRDefault="00DB1387" w:rsidP="00DB1387">
      <w:pPr>
        <w:pStyle w:val="Footer"/>
        <w:tabs>
          <w:tab w:val="clear" w:pos="9026"/>
          <w:tab w:val="right" w:pos="10260"/>
        </w:tabs>
        <w:rPr>
          <w:rFonts w:ascii="Tahoma" w:hAnsi="Tahoma" w:cs="Tahoma"/>
          <w:b/>
          <w:sz w:val="16"/>
          <w:szCs w:val="18"/>
          <w:lang w:val="it-IT"/>
        </w:rPr>
      </w:pPr>
      <w:r w:rsidRPr="00E51C88">
        <w:rPr>
          <w:rFonts w:ascii="Tahoma" w:hAnsi="Tahoma" w:cs="Tahoma"/>
          <w:b/>
          <w:sz w:val="16"/>
          <w:szCs w:val="18"/>
          <w:lang w:val="it-IT"/>
        </w:rPr>
        <w:tab/>
      </w:r>
      <w:r w:rsidRPr="00E51C88">
        <w:rPr>
          <w:rFonts w:ascii="Tahoma" w:hAnsi="Tahoma" w:cs="Tahoma"/>
          <w:b/>
          <w:sz w:val="16"/>
          <w:szCs w:val="18"/>
          <w:lang w:val="it-IT"/>
        </w:rPr>
        <w:tab/>
        <w:t>Centro linguistico</w:t>
      </w:r>
    </w:p>
    <w:p w14:paraId="2149F4F6" w14:textId="77777777" w:rsidR="00DB1387" w:rsidRPr="00E51C88" w:rsidRDefault="00DB1387" w:rsidP="00DB1387">
      <w:pPr>
        <w:pStyle w:val="Footer"/>
        <w:tabs>
          <w:tab w:val="clear" w:pos="9026"/>
          <w:tab w:val="right" w:pos="10260"/>
        </w:tabs>
        <w:rPr>
          <w:rFonts w:ascii="Tahoma" w:hAnsi="Tahoma" w:cs="Tahoma"/>
          <w:sz w:val="16"/>
          <w:szCs w:val="18"/>
          <w:lang w:val="it-IT"/>
        </w:rPr>
      </w:pPr>
      <w:r w:rsidRPr="00E51C88">
        <w:rPr>
          <w:rFonts w:ascii="Tahoma" w:hAnsi="Tahoma" w:cs="Tahoma"/>
          <w:b/>
          <w:sz w:val="16"/>
          <w:szCs w:val="18"/>
          <w:lang w:val="it-IT"/>
        </w:rPr>
        <w:tab/>
      </w:r>
      <w:r w:rsidRPr="00E51C88">
        <w:rPr>
          <w:rFonts w:ascii="Tahoma" w:hAnsi="Tahoma" w:cs="Tahoma"/>
          <w:b/>
          <w:sz w:val="16"/>
          <w:szCs w:val="18"/>
          <w:lang w:val="it-IT"/>
        </w:rPr>
        <w:tab/>
        <w:t>Language Centre</w:t>
      </w:r>
    </w:p>
    <w:p w14:paraId="2D4747F3" w14:textId="77777777" w:rsidR="00DB1387" w:rsidRPr="00E51C88" w:rsidRDefault="00DB1387" w:rsidP="00DB1387">
      <w:pPr>
        <w:pStyle w:val="Header"/>
        <w:rPr>
          <w:lang w:val="it-IT"/>
        </w:rPr>
      </w:pPr>
    </w:p>
    <w:p w14:paraId="22A0132A" w14:textId="77777777" w:rsidR="00DB1387" w:rsidRPr="00E51C88" w:rsidRDefault="00DB1387" w:rsidP="00DB1387">
      <w:pPr>
        <w:spacing w:before="54"/>
        <w:ind w:left="720"/>
        <w:rPr>
          <w:rFonts w:ascii="Tahoma" w:hAnsi="Tahoma" w:cs="Tahoma"/>
          <w:b/>
          <w:caps/>
          <w:color w:val="007CC3"/>
          <w:szCs w:val="20"/>
          <w:lang w:val="it-IT"/>
        </w:rPr>
      </w:pPr>
    </w:p>
    <w:p w14:paraId="1A97B64B" w14:textId="1D5E1925" w:rsidR="00736A57" w:rsidRPr="00E51C88" w:rsidRDefault="00E51C88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 w:val="24"/>
          <w:lang w:val="it-IT"/>
        </w:rPr>
      </w:pPr>
      <w:r w:rsidRPr="00E51C88">
        <w:rPr>
          <w:rFonts w:ascii="Tahoma" w:hAnsi="Tahoma" w:cs="Tahoma"/>
          <w:b/>
          <w:caps/>
          <w:color w:val="007CC3"/>
          <w:sz w:val="24"/>
          <w:lang w:val="it-IT"/>
        </w:rPr>
        <w:t xml:space="preserve">Punteggi e criteri di valutazione dell’esame di lingua </w:t>
      </w:r>
      <w:r>
        <w:rPr>
          <w:rFonts w:ascii="Tahoma" w:hAnsi="Tahoma" w:cs="Tahoma"/>
          <w:b/>
          <w:caps/>
          <w:color w:val="007CC3"/>
          <w:sz w:val="24"/>
          <w:lang w:val="it-IT"/>
        </w:rPr>
        <w:t>della libera Università di bolzano</w:t>
      </w:r>
    </w:p>
    <w:p w14:paraId="19A1BBC1" w14:textId="2CF39B46" w:rsidR="00DB1387" w:rsidRPr="00855EC0" w:rsidRDefault="00DB1387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Cs w:val="20"/>
          <w:lang w:val="it-IT"/>
        </w:rPr>
      </w:pPr>
      <w:r w:rsidRPr="00855EC0">
        <w:rPr>
          <w:rFonts w:ascii="Tahoma" w:hAnsi="Tahoma" w:cs="Tahoma"/>
          <w:b/>
          <w:caps/>
          <w:color w:val="007CC3"/>
          <w:szCs w:val="20"/>
          <w:lang w:val="it-IT"/>
        </w:rPr>
        <w:t>Modul</w:t>
      </w:r>
      <w:r w:rsidR="00E51C88" w:rsidRPr="00855EC0">
        <w:rPr>
          <w:rFonts w:ascii="Tahoma" w:hAnsi="Tahoma" w:cs="Tahoma"/>
          <w:b/>
          <w:caps/>
          <w:color w:val="007CC3"/>
          <w:szCs w:val="20"/>
          <w:lang w:val="it-IT"/>
        </w:rPr>
        <w:t>o</w:t>
      </w:r>
      <w:r w:rsidRPr="00855EC0">
        <w:rPr>
          <w:rFonts w:ascii="Tahoma" w:hAnsi="Tahoma" w:cs="Tahoma"/>
          <w:b/>
          <w:caps/>
          <w:color w:val="007CC3"/>
          <w:szCs w:val="20"/>
          <w:lang w:val="it-IT"/>
        </w:rPr>
        <w:t xml:space="preserve"> I (</w:t>
      </w:r>
      <w:r w:rsidR="00E51C88" w:rsidRPr="00855EC0">
        <w:rPr>
          <w:rFonts w:ascii="Tahoma" w:hAnsi="Tahoma" w:cs="Tahoma"/>
          <w:b/>
          <w:caps/>
          <w:color w:val="007CC3"/>
          <w:szCs w:val="20"/>
          <w:lang w:val="it-IT"/>
        </w:rPr>
        <w:t>ascoltare</w:t>
      </w:r>
      <w:r w:rsidRPr="00855EC0">
        <w:rPr>
          <w:rFonts w:ascii="Tahoma" w:hAnsi="Tahoma" w:cs="Tahoma"/>
          <w:b/>
          <w:caps/>
          <w:color w:val="007CC3"/>
          <w:szCs w:val="20"/>
          <w:lang w:val="it-IT"/>
        </w:rPr>
        <w:t xml:space="preserve">, </w:t>
      </w:r>
      <w:r w:rsidR="00E51C88" w:rsidRPr="00855EC0">
        <w:rPr>
          <w:rFonts w:ascii="Tahoma" w:hAnsi="Tahoma" w:cs="Tahoma"/>
          <w:b/>
          <w:caps/>
          <w:color w:val="007CC3"/>
          <w:szCs w:val="20"/>
          <w:lang w:val="it-IT"/>
        </w:rPr>
        <w:t>leggere</w:t>
      </w:r>
      <w:r w:rsidRPr="00855EC0">
        <w:rPr>
          <w:rFonts w:ascii="Tahoma" w:hAnsi="Tahoma" w:cs="Tahoma"/>
          <w:b/>
          <w:caps/>
          <w:color w:val="007CC3"/>
          <w:szCs w:val="20"/>
          <w:lang w:val="it-IT"/>
        </w:rPr>
        <w:t>)</w:t>
      </w:r>
    </w:p>
    <w:p w14:paraId="2C162454" w14:textId="37669AB1" w:rsidR="00DB1387" w:rsidRPr="00855EC0" w:rsidRDefault="00855EC0" w:rsidP="00DB1387">
      <w:pPr>
        <w:pStyle w:val="ListParagraph"/>
        <w:tabs>
          <w:tab w:val="left" w:pos="1080"/>
        </w:tabs>
        <w:spacing w:line="276" w:lineRule="auto"/>
        <w:ind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855EC0">
        <w:rPr>
          <w:rFonts w:ascii="Tahoma" w:eastAsia="Century Gothic" w:hAnsi="Tahoma" w:cs="Tahoma"/>
          <w:color w:val="231F20"/>
          <w:sz w:val="20"/>
          <w:szCs w:val="20"/>
          <w:lang w:val="it-IT"/>
        </w:rPr>
        <w:t>Per superare il modulo I, che è propedeutico agli altri 2 moduli, è necessario raggiungere almeno il 60% dei punti disponibili (24 punti su 40).</w:t>
      </w:r>
    </w:p>
    <w:p w14:paraId="540C5665" w14:textId="1638B85B" w:rsidR="00DB1387" w:rsidRPr="00377555" w:rsidRDefault="00DB1387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Cs w:val="20"/>
          <w:lang w:val="it-IT"/>
        </w:rPr>
      </w:pPr>
      <w:r w:rsidRPr="00377555">
        <w:rPr>
          <w:rFonts w:ascii="Tahoma" w:hAnsi="Tahoma" w:cs="Tahoma"/>
          <w:b/>
          <w:caps/>
          <w:color w:val="007CC3"/>
          <w:szCs w:val="20"/>
          <w:lang w:val="it-IT"/>
        </w:rPr>
        <w:t>Modul</w:t>
      </w:r>
      <w:r w:rsidR="00855EC0" w:rsidRPr="00377555">
        <w:rPr>
          <w:rFonts w:ascii="Tahoma" w:hAnsi="Tahoma" w:cs="Tahoma"/>
          <w:b/>
          <w:caps/>
          <w:color w:val="007CC3"/>
          <w:szCs w:val="20"/>
          <w:lang w:val="it-IT"/>
        </w:rPr>
        <w:t>o</w:t>
      </w:r>
      <w:r w:rsidRPr="00377555">
        <w:rPr>
          <w:rFonts w:ascii="Tahoma" w:hAnsi="Tahoma" w:cs="Tahoma"/>
          <w:b/>
          <w:caps/>
          <w:color w:val="007CC3"/>
          <w:szCs w:val="20"/>
          <w:lang w:val="it-IT"/>
        </w:rPr>
        <w:t xml:space="preserve"> II (</w:t>
      </w:r>
      <w:r w:rsidR="001B1F64" w:rsidRPr="00377555">
        <w:rPr>
          <w:rFonts w:ascii="Tahoma" w:hAnsi="Tahoma" w:cs="Tahoma"/>
          <w:b/>
          <w:caps/>
          <w:color w:val="007CC3"/>
          <w:szCs w:val="20"/>
          <w:lang w:val="it-IT"/>
        </w:rPr>
        <w:t>PRODU</w:t>
      </w:r>
      <w:r w:rsidR="00855EC0" w:rsidRPr="00377555">
        <w:rPr>
          <w:rFonts w:ascii="Tahoma" w:hAnsi="Tahoma" w:cs="Tahoma"/>
          <w:b/>
          <w:caps/>
          <w:color w:val="007CC3"/>
          <w:szCs w:val="20"/>
          <w:lang w:val="it-IT"/>
        </w:rPr>
        <w:t>zione scritta</w:t>
      </w:r>
      <w:r w:rsidRPr="00377555">
        <w:rPr>
          <w:rFonts w:ascii="Tahoma" w:hAnsi="Tahoma" w:cs="Tahoma"/>
          <w:b/>
          <w:caps/>
          <w:color w:val="007CC3"/>
          <w:szCs w:val="20"/>
          <w:lang w:val="it-IT"/>
        </w:rPr>
        <w:t>)</w:t>
      </w:r>
    </w:p>
    <w:p w14:paraId="58FC75A6" w14:textId="0986F609" w:rsidR="00DB1387" w:rsidRPr="00377555" w:rsidRDefault="00377555" w:rsidP="009E1E02">
      <w:pPr>
        <w:pStyle w:val="ListParagraph"/>
        <w:tabs>
          <w:tab w:val="left" w:pos="1080"/>
        </w:tabs>
        <w:spacing w:line="276" w:lineRule="auto"/>
        <w:ind w:right="-9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377555">
        <w:rPr>
          <w:rFonts w:ascii="Tahoma" w:eastAsia="Century Gothic" w:hAnsi="Tahoma" w:cs="Tahoma"/>
          <w:color w:val="231F20"/>
          <w:sz w:val="20"/>
          <w:szCs w:val="20"/>
          <w:lang w:val="it-IT"/>
        </w:rPr>
        <w:t>Le prove scritte sono valutate secondo i seguenti quattro criteri, ciascuno con un punteggio da 0 a 5:</w:t>
      </w:r>
    </w:p>
    <w:p w14:paraId="683A573D" w14:textId="3DC9396E" w:rsidR="00DB1387" w:rsidRPr="00AD4F5A" w:rsidRDefault="00377555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AD4F5A">
        <w:rPr>
          <w:rFonts w:ascii="Tahoma" w:eastAsia="Century Gothic" w:hAnsi="Tahoma" w:cs="Tahoma"/>
          <w:b/>
          <w:bCs/>
          <w:color w:val="231F20"/>
          <w:sz w:val="20"/>
          <w:szCs w:val="20"/>
          <w:lang w:val="it-IT"/>
        </w:rPr>
        <w:t>Adeguatezza del contenuto e svolgimento del compito:</w:t>
      </w:r>
      <w:r w:rsidR="00DB1387" w:rsidRPr="00AD4F5A">
        <w:rPr>
          <w:rFonts w:ascii="Tahoma" w:eastAsia="Century Gothic" w:hAnsi="Tahoma" w:cs="Tahoma"/>
          <w:color w:val="231F20"/>
          <w:sz w:val="20"/>
          <w:szCs w:val="20"/>
          <w:lang w:val="it-IT"/>
        </w:rPr>
        <w:t xml:space="preserve"> </w:t>
      </w:r>
      <w:r w:rsidR="00AD4F5A" w:rsidRPr="00AD4F5A">
        <w:rPr>
          <w:rFonts w:ascii="Tahoma" w:eastAsia="Century Gothic" w:hAnsi="Tahoma" w:cs="Tahoma"/>
          <w:color w:val="231F20"/>
          <w:sz w:val="20"/>
          <w:szCs w:val="20"/>
          <w:lang w:val="it-IT"/>
        </w:rPr>
        <w:t>Valuta la completezza, la pertinenza e la profondità con cui vengono affrontati i punti richiesti dalla traccia.</w:t>
      </w:r>
    </w:p>
    <w:p w14:paraId="4559D926" w14:textId="12A525C2" w:rsidR="005B18A7" w:rsidRPr="002208FC" w:rsidRDefault="005B18A7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2208FC">
        <w:rPr>
          <w:rFonts w:ascii="Tahoma" w:eastAsia="Century Gothic" w:hAnsi="Tahoma" w:cs="Tahoma"/>
          <w:b/>
          <w:bCs/>
          <w:color w:val="231F20"/>
          <w:sz w:val="20"/>
          <w:szCs w:val="20"/>
          <w:lang w:val="it-IT"/>
        </w:rPr>
        <w:t>Le</w:t>
      </w:r>
      <w:r w:rsidR="00AD4F5A" w:rsidRPr="002208FC">
        <w:rPr>
          <w:rFonts w:ascii="Tahoma" w:eastAsia="Century Gothic" w:hAnsi="Tahoma" w:cs="Tahoma"/>
          <w:b/>
          <w:bCs/>
          <w:color w:val="231F20"/>
          <w:sz w:val="20"/>
          <w:szCs w:val="20"/>
          <w:lang w:val="it-IT"/>
        </w:rPr>
        <w:t>ssico</w:t>
      </w:r>
      <w:r w:rsidRPr="002208FC">
        <w:rPr>
          <w:rFonts w:ascii="Tahoma" w:eastAsia="Century Gothic" w:hAnsi="Tahoma" w:cs="Tahoma"/>
          <w:b/>
          <w:bCs/>
          <w:color w:val="231F20"/>
          <w:sz w:val="20"/>
          <w:szCs w:val="20"/>
          <w:lang w:val="it-IT"/>
        </w:rPr>
        <w:t>:</w:t>
      </w:r>
      <w:r w:rsidRPr="002208FC">
        <w:rPr>
          <w:lang w:val="it-IT"/>
        </w:rPr>
        <w:t xml:space="preserve"> </w:t>
      </w:r>
      <w:r w:rsidR="002208FC" w:rsidRPr="002208FC">
        <w:rPr>
          <w:rFonts w:ascii="Tahoma" w:hAnsi="Tahoma" w:cs="Tahoma"/>
          <w:sz w:val="20"/>
          <w:szCs w:val="20"/>
          <w:lang w:val="it-IT"/>
        </w:rPr>
        <w:t>Considera l’ampiezza e l’appropriatezza del vocabolario, l’uso di sinonimi, collocazioni e la capacità di compensare eventuali lacune.</w:t>
      </w:r>
    </w:p>
    <w:p w14:paraId="0BF76AED" w14:textId="224557F6" w:rsidR="00DB1387" w:rsidRPr="008206BC" w:rsidRDefault="008206BC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8206BC">
        <w:rPr>
          <w:rFonts w:ascii="Tahoma" w:eastAsia="Century Gothic" w:hAnsi="Tahoma" w:cs="Tahoma"/>
          <w:b/>
          <w:bCs/>
          <w:color w:val="231F20"/>
          <w:sz w:val="20"/>
          <w:szCs w:val="20"/>
          <w:lang w:val="it-IT"/>
        </w:rPr>
        <w:t>Grammatica, ortografia e punteggiatura:</w:t>
      </w:r>
      <w:r w:rsidR="00353510" w:rsidRPr="008206BC">
        <w:rPr>
          <w:rFonts w:ascii="Tahoma" w:eastAsia="Century Gothic" w:hAnsi="Tahoma" w:cs="Tahoma"/>
          <w:b/>
          <w:bCs/>
          <w:color w:val="231F20"/>
          <w:sz w:val="20"/>
          <w:szCs w:val="20"/>
          <w:lang w:val="it-IT"/>
        </w:rPr>
        <w:t xml:space="preserve"> </w:t>
      </w:r>
      <w:r w:rsidRPr="008206BC">
        <w:rPr>
          <w:rFonts w:ascii="Tahoma" w:eastAsia="Century Gothic" w:hAnsi="Tahoma" w:cs="Tahoma"/>
          <w:color w:val="231F20"/>
          <w:sz w:val="20"/>
          <w:szCs w:val="20"/>
          <w:lang w:val="it-IT"/>
        </w:rPr>
        <w:t>Misura la varietà e la correttezza delle strutture grammaticali, nonché la precisione ortografica e l’uso della punteggiatura.</w:t>
      </w:r>
    </w:p>
    <w:p w14:paraId="2DCDC75D" w14:textId="775A202D" w:rsidR="00DB1387" w:rsidRPr="0050268E" w:rsidRDefault="0050268E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50268E">
        <w:rPr>
          <w:rFonts w:ascii="Tahoma" w:eastAsia="Century Gothic" w:hAnsi="Tahoma" w:cs="Tahoma"/>
          <w:b/>
          <w:bCs/>
          <w:color w:val="231F20"/>
          <w:sz w:val="20"/>
          <w:szCs w:val="20"/>
          <w:lang w:val="it-IT"/>
        </w:rPr>
        <w:t>Coerenza e coesione:</w:t>
      </w:r>
      <w:r w:rsidR="00353510" w:rsidRPr="0050268E">
        <w:rPr>
          <w:rFonts w:ascii="Tahoma" w:eastAsia="Century Gothic" w:hAnsi="Tahoma" w:cs="Tahoma"/>
          <w:color w:val="231F20"/>
          <w:sz w:val="20"/>
          <w:szCs w:val="20"/>
          <w:lang w:val="it-IT"/>
        </w:rPr>
        <w:t xml:space="preserve"> </w:t>
      </w:r>
      <w:r w:rsidRPr="0050268E">
        <w:rPr>
          <w:rFonts w:ascii="Tahoma" w:eastAsia="Century Gothic" w:hAnsi="Tahoma" w:cs="Tahoma"/>
          <w:color w:val="231F20"/>
          <w:sz w:val="20"/>
          <w:szCs w:val="20"/>
          <w:lang w:val="it-IT"/>
        </w:rPr>
        <w:t>Valuta l’organizzazione logica del testo, l’uso efficace di connettivi e coesivi, e la chiarezza nella gerarchia delle informazioni.</w:t>
      </w:r>
    </w:p>
    <w:p w14:paraId="2FC1F8A4" w14:textId="07601A06" w:rsidR="00DB1387" w:rsidRPr="0050268E" w:rsidRDefault="0050268E" w:rsidP="0050268E">
      <w:pPr>
        <w:pStyle w:val="ListParagraph"/>
        <w:tabs>
          <w:tab w:val="left" w:pos="1080"/>
        </w:tabs>
        <w:spacing w:before="240" w:line="276" w:lineRule="auto"/>
        <w:ind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50268E">
        <w:rPr>
          <w:rFonts w:ascii="Tahoma" w:eastAsia="Century Gothic" w:hAnsi="Tahoma" w:cs="Tahoma"/>
          <w:color w:val="231F20"/>
          <w:sz w:val="20"/>
          <w:szCs w:val="20"/>
          <w:lang w:val="it-IT"/>
        </w:rPr>
        <w:t>Per superare il modulo II è necessario raggiungere almeno il 60% dei punti disponibili (12 su 20).</w:t>
      </w:r>
    </w:p>
    <w:p w14:paraId="49A359F4" w14:textId="11B2B619" w:rsidR="00E75FC7" w:rsidRPr="00B0146E" w:rsidRDefault="00DB1387" w:rsidP="00E75FC7">
      <w:pPr>
        <w:spacing w:before="240" w:after="120" w:line="276" w:lineRule="auto"/>
        <w:ind w:left="720" w:right="173"/>
        <w:rPr>
          <w:rFonts w:ascii="Tahoma" w:hAnsi="Tahoma" w:cs="Tahoma"/>
          <w:b/>
          <w:caps/>
          <w:color w:val="007CC3"/>
          <w:szCs w:val="20"/>
          <w:lang w:val="it-IT"/>
        </w:rPr>
      </w:pPr>
      <w:r w:rsidRPr="00B0146E">
        <w:rPr>
          <w:rFonts w:ascii="Tahoma" w:hAnsi="Tahoma" w:cs="Tahoma"/>
          <w:b/>
          <w:caps/>
          <w:color w:val="007CC3"/>
          <w:szCs w:val="20"/>
          <w:lang w:val="it-IT"/>
        </w:rPr>
        <w:t>Modul</w:t>
      </w:r>
      <w:r w:rsidR="0050268E" w:rsidRPr="00B0146E">
        <w:rPr>
          <w:rFonts w:ascii="Tahoma" w:hAnsi="Tahoma" w:cs="Tahoma"/>
          <w:b/>
          <w:caps/>
          <w:color w:val="007CC3"/>
          <w:szCs w:val="20"/>
          <w:lang w:val="it-IT"/>
        </w:rPr>
        <w:t>o</w:t>
      </w:r>
      <w:r w:rsidRPr="00B0146E">
        <w:rPr>
          <w:rFonts w:ascii="Tahoma" w:hAnsi="Tahoma" w:cs="Tahoma"/>
          <w:b/>
          <w:caps/>
          <w:color w:val="007CC3"/>
          <w:szCs w:val="20"/>
          <w:lang w:val="it-IT"/>
        </w:rPr>
        <w:t xml:space="preserve"> III (</w:t>
      </w:r>
      <w:r w:rsidR="00087DC1" w:rsidRPr="00B0146E">
        <w:rPr>
          <w:rFonts w:ascii="Tahoma" w:hAnsi="Tahoma" w:cs="Tahoma"/>
          <w:b/>
          <w:caps/>
          <w:color w:val="007CC3"/>
          <w:szCs w:val="20"/>
          <w:lang w:val="it-IT"/>
        </w:rPr>
        <w:t>produ</w:t>
      </w:r>
      <w:r w:rsidR="0050268E" w:rsidRPr="00B0146E">
        <w:rPr>
          <w:rFonts w:ascii="Tahoma" w:hAnsi="Tahoma" w:cs="Tahoma"/>
          <w:b/>
          <w:caps/>
          <w:color w:val="007CC3"/>
          <w:szCs w:val="20"/>
          <w:lang w:val="it-IT"/>
        </w:rPr>
        <w:t>zione orale</w:t>
      </w:r>
      <w:r w:rsidRPr="00B0146E">
        <w:rPr>
          <w:rFonts w:ascii="Tahoma" w:hAnsi="Tahoma" w:cs="Tahoma"/>
          <w:b/>
          <w:caps/>
          <w:color w:val="007CC3"/>
          <w:szCs w:val="20"/>
          <w:lang w:val="it-IT"/>
        </w:rPr>
        <w:t>)</w:t>
      </w:r>
    </w:p>
    <w:p w14:paraId="5CF2442E" w14:textId="34F2D924" w:rsidR="00DB1387" w:rsidRPr="00B0146E" w:rsidRDefault="00B0146E" w:rsidP="00E75FC7">
      <w:pPr>
        <w:pStyle w:val="ListParagraph"/>
        <w:tabs>
          <w:tab w:val="left" w:pos="1080"/>
        </w:tabs>
        <w:spacing w:line="276" w:lineRule="auto"/>
        <w:ind w:right="173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B0146E">
        <w:rPr>
          <w:rFonts w:ascii="Tahoma" w:eastAsia="Century Gothic" w:hAnsi="Tahoma" w:cs="Tahoma"/>
          <w:color w:val="231F20"/>
          <w:sz w:val="20"/>
          <w:szCs w:val="20"/>
          <w:lang w:val="it-IT"/>
        </w:rPr>
        <w:t>Le prove orali sono valutate secondo i seguenti quattro criteri, ciascuno con un punteggio da 0 a 5:</w:t>
      </w:r>
    </w:p>
    <w:p w14:paraId="50B14E3A" w14:textId="041CC0FF" w:rsidR="00DB1387" w:rsidRPr="00B0146E" w:rsidRDefault="00B0146E" w:rsidP="00E75FC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B0146E">
        <w:rPr>
          <w:rFonts w:ascii="Tahoma" w:eastAsia="Century Gothic" w:hAnsi="Tahoma" w:cs="Tahoma"/>
          <w:b/>
          <w:bCs/>
          <w:color w:val="231F20"/>
          <w:sz w:val="20"/>
          <w:szCs w:val="20"/>
          <w:lang w:val="it-IT"/>
        </w:rPr>
        <w:t>Efficacia comunicativa:</w:t>
      </w:r>
      <w:r w:rsidR="00DB1387" w:rsidRPr="00B0146E">
        <w:rPr>
          <w:rFonts w:ascii="Tahoma" w:eastAsia="Century Gothic" w:hAnsi="Tahoma" w:cs="Tahoma"/>
          <w:color w:val="231F20"/>
          <w:sz w:val="20"/>
          <w:szCs w:val="20"/>
          <w:lang w:val="it-IT"/>
        </w:rPr>
        <w:t xml:space="preserve"> </w:t>
      </w:r>
      <w:r w:rsidRPr="00B0146E">
        <w:rPr>
          <w:rFonts w:ascii="Tahoma" w:eastAsia="Century Gothic" w:hAnsi="Tahoma" w:cs="Tahoma"/>
          <w:color w:val="231F20"/>
          <w:sz w:val="20"/>
          <w:szCs w:val="20"/>
          <w:lang w:val="it-IT"/>
        </w:rPr>
        <w:t>Riguarda la capacità di portare a termine i compiti assegnati, l’organizzazione del discorso e la rilevanza dei contenuti.</w:t>
      </w:r>
    </w:p>
    <w:p w14:paraId="6C0F860C" w14:textId="32102322" w:rsidR="00DB1387" w:rsidRPr="00BE4C09" w:rsidRDefault="00BE4C09" w:rsidP="00DB1387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BE4C09">
        <w:rPr>
          <w:rFonts w:ascii="Tahoma" w:eastAsia="Century Gothic" w:hAnsi="Tahoma" w:cs="Tahoma"/>
          <w:b/>
          <w:bCs/>
          <w:color w:val="231F20"/>
          <w:sz w:val="20"/>
          <w:szCs w:val="20"/>
          <w:lang w:val="it-IT"/>
        </w:rPr>
        <w:t>Lessico:</w:t>
      </w:r>
      <w:r w:rsidR="00DB1387" w:rsidRPr="00BE4C09">
        <w:rPr>
          <w:rFonts w:ascii="Tahoma" w:eastAsia="Century Gothic" w:hAnsi="Tahoma" w:cs="Tahoma"/>
          <w:color w:val="231F20"/>
          <w:sz w:val="20"/>
          <w:szCs w:val="20"/>
          <w:lang w:val="it-IT"/>
        </w:rPr>
        <w:t xml:space="preserve"> </w:t>
      </w:r>
      <w:r w:rsidRPr="00BE4C09">
        <w:rPr>
          <w:rFonts w:ascii="Tahoma" w:eastAsia="Century Gothic" w:hAnsi="Tahoma" w:cs="Tahoma"/>
          <w:color w:val="231F20"/>
          <w:sz w:val="20"/>
          <w:szCs w:val="20"/>
          <w:lang w:val="it-IT"/>
        </w:rPr>
        <w:t>Valuta l’ampiezza del vocabolario, la capacità di esprimersi chiaramente e di compensare eventuali lacune.</w:t>
      </w:r>
    </w:p>
    <w:p w14:paraId="6408877C" w14:textId="77777777" w:rsidR="006C205A" w:rsidRDefault="00BE4C09" w:rsidP="00783E1D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6C205A">
        <w:rPr>
          <w:rFonts w:ascii="Tahoma" w:eastAsia="Century Gothic" w:hAnsi="Tahoma" w:cs="Tahoma"/>
          <w:b/>
          <w:bCs/>
          <w:color w:val="231F20"/>
          <w:sz w:val="20"/>
          <w:szCs w:val="20"/>
          <w:lang w:val="it-IT"/>
        </w:rPr>
        <w:t>Grammatica:</w:t>
      </w:r>
      <w:r w:rsidR="00DB1387" w:rsidRPr="006C205A">
        <w:rPr>
          <w:rFonts w:ascii="Tahoma" w:eastAsia="Century Gothic" w:hAnsi="Tahoma" w:cs="Tahoma"/>
          <w:color w:val="231F20"/>
          <w:sz w:val="20"/>
          <w:szCs w:val="20"/>
          <w:lang w:val="it-IT"/>
        </w:rPr>
        <w:t xml:space="preserve"> </w:t>
      </w:r>
      <w:r w:rsidR="006C205A" w:rsidRPr="006C205A">
        <w:rPr>
          <w:rFonts w:ascii="Tahoma" w:eastAsia="Century Gothic" w:hAnsi="Tahoma" w:cs="Tahoma"/>
          <w:color w:val="231F20"/>
          <w:sz w:val="20"/>
          <w:szCs w:val="20"/>
          <w:lang w:val="it-IT"/>
        </w:rPr>
        <w:t>Considera la varietà e la correttezza delle strutture grammaticali utilizzate.</w:t>
      </w:r>
    </w:p>
    <w:p w14:paraId="26276F95" w14:textId="67DDDF3D" w:rsidR="00783E1D" w:rsidRPr="006C205A" w:rsidRDefault="006C205A" w:rsidP="00783E1D">
      <w:pPr>
        <w:pStyle w:val="ListParagraph"/>
        <w:tabs>
          <w:tab w:val="left" w:pos="1080"/>
        </w:tabs>
        <w:spacing w:before="160" w:line="276" w:lineRule="auto"/>
        <w:ind w:left="1080"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6C205A">
        <w:rPr>
          <w:rFonts w:ascii="Tahoma" w:eastAsia="Century Gothic" w:hAnsi="Tahoma" w:cs="Tahoma"/>
          <w:b/>
          <w:bCs/>
          <w:color w:val="231F20"/>
          <w:sz w:val="20"/>
          <w:szCs w:val="20"/>
          <w:lang w:val="it-IT"/>
        </w:rPr>
        <w:t>Fluenza, pronuncia e intonazione:</w:t>
      </w:r>
      <w:r w:rsidR="00DB1387" w:rsidRPr="006C205A">
        <w:rPr>
          <w:rFonts w:ascii="Tahoma" w:eastAsia="Century Gothic" w:hAnsi="Tahoma" w:cs="Tahoma"/>
          <w:color w:val="231F20"/>
          <w:sz w:val="20"/>
          <w:szCs w:val="20"/>
          <w:lang w:val="it-IT"/>
        </w:rPr>
        <w:t xml:space="preserve"> </w:t>
      </w:r>
      <w:r w:rsidRPr="006C205A">
        <w:rPr>
          <w:rFonts w:ascii="Tahoma" w:eastAsia="Century Gothic" w:hAnsi="Tahoma" w:cs="Tahoma"/>
          <w:color w:val="231F20"/>
          <w:sz w:val="20"/>
          <w:szCs w:val="20"/>
          <w:lang w:val="it-IT"/>
        </w:rPr>
        <w:t>Misura la scorrevolezza del discorso, la chiarezza della pronuncia e l’uso dell’intonazione.</w:t>
      </w:r>
    </w:p>
    <w:p w14:paraId="69AE3B61" w14:textId="70465352" w:rsidR="00E75FC7" w:rsidRPr="00F60F5E" w:rsidRDefault="00F60F5E" w:rsidP="00783E1D">
      <w:pPr>
        <w:pStyle w:val="ListParagraph"/>
        <w:tabs>
          <w:tab w:val="left" w:pos="1080"/>
        </w:tabs>
        <w:spacing w:before="240" w:line="276" w:lineRule="auto"/>
        <w:ind w:right="173"/>
        <w:contextualSpacing w:val="0"/>
        <w:rPr>
          <w:rFonts w:ascii="Tahoma" w:eastAsia="Century Gothic" w:hAnsi="Tahoma" w:cs="Tahoma"/>
          <w:color w:val="231F20"/>
          <w:sz w:val="20"/>
          <w:szCs w:val="20"/>
          <w:lang w:val="it-IT"/>
        </w:rPr>
      </w:pPr>
      <w:r w:rsidRPr="00F60F5E">
        <w:rPr>
          <w:rFonts w:ascii="Tahoma" w:eastAsia="Century Gothic" w:hAnsi="Tahoma" w:cs="Tahoma"/>
          <w:color w:val="231F20"/>
          <w:sz w:val="20"/>
          <w:szCs w:val="20"/>
          <w:lang w:val="it-IT"/>
        </w:rPr>
        <w:t>Per superare il modulo III è necessario raggiungere almeno il 60% dei punti disponibili (12 su 20).</w:t>
      </w:r>
    </w:p>
    <w:sectPr w:rsidR="00E75FC7" w:rsidRPr="00F60F5E" w:rsidSect="00E75FC7">
      <w:footerReference w:type="default" r:id="rId8"/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BD0D" w14:textId="77777777" w:rsidR="00B21D2E" w:rsidRDefault="00B21D2E" w:rsidP="00B21D2E">
      <w:r>
        <w:separator/>
      </w:r>
    </w:p>
  </w:endnote>
  <w:endnote w:type="continuationSeparator" w:id="0">
    <w:p w14:paraId="51DAB4A6" w14:textId="77777777" w:rsidR="00B21D2E" w:rsidRDefault="00B21D2E" w:rsidP="00B2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55EF" w14:textId="77777777" w:rsidR="00B21D2E" w:rsidRPr="00074D6A" w:rsidRDefault="00B21D2E" w:rsidP="00B21D2E">
    <w:pPr>
      <w:pStyle w:val="Footer"/>
      <w:pBdr>
        <w:top w:val="single" w:sz="4" w:space="1" w:color="auto"/>
      </w:pBdr>
      <w:spacing w:before="12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482901">
      <w:rPr>
        <w:rFonts w:ascii="Tahoma" w:hAnsi="Tahoma" w:cs="Tahoma"/>
        <w:sz w:val="16"/>
        <w:szCs w:val="16"/>
      </w:rPr>
      <w:fldChar w:fldCharType="begin"/>
    </w:r>
    <w:r w:rsidRPr="00482901">
      <w:rPr>
        <w:rFonts w:ascii="Tahoma" w:hAnsi="Tahoma" w:cs="Tahoma"/>
        <w:sz w:val="16"/>
        <w:szCs w:val="16"/>
      </w:rPr>
      <w:instrText xml:space="preserve"> PAGE   \* MERGEFORMAT </w:instrText>
    </w:r>
    <w:r w:rsidRPr="00482901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1</w:t>
    </w:r>
    <w:r w:rsidRPr="00482901">
      <w:rPr>
        <w:rFonts w:ascii="Tahoma" w:hAnsi="Tahoma" w:cs="Tahoma"/>
        <w:noProof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 \* Arabic  \* MERGEFORMAT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1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ab/>
      <w:t xml:space="preserve">Rev.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DATE   \* MERGEFORMAT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26.06.2025</w:t>
    </w:r>
    <w:r>
      <w:rPr>
        <w:rFonts w:ascii="Tahoma" w:hAnsi="Tahoma" w:cs="Tahoma"/>
        <w:sz w:val="16"/>
        <w:szCs w:val="16"/>
      </w:rPr>
      <w:fldChar w:fldCharType="end"/>
    </w:r>
  </w:p>
  <w:p w14:paraId="3F5596FB" w14:textId="77777777" w:rsidR="00B21D2E" w:rsidRDefault="00B21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31E71" w14:textId="77777777" w:rsidR="00B21D2E" w:rsidRDefault="00B21D2E" w:rsidP="00B21D2E">
      <w:r>
        <w:separator/>
      </w:r>
    </w:p>
  </w:footnote>
  <w:footnote w:type="continuationSeparator" w:id="0">
    <w:p w14:paraId="7AA52EB6" w14:textId="77777777" w:rsidR="00B21D2E" w:rsidRDefault="00B21D2E" w:rsidP="00B2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E58A8"/>
    <w:multiLevelType w:val="hybridMultilevel"/>
    <w:tmpl w:val="E71CC7D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7412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87"/>
    <w:rsid w:val="00014640"/>
    <w:rsid w:val="00087DC1"/>
    <w:rsid w:val="00126BC0"/>
    <w:rsid w:val="00151E75"/>
    <w:rsid w:val="00161CF7"/>
    <w:rsid w:val="001B1F64"/>
    <w:rsid w:val="002208FC"/>
    <w:rsid w:val="0027516A"/>
    <w:rsid w:val="002D1101"/>
    <w:rsid w:val="003062B5"/>
    <w:rsid w:val="00353510"/>
    <w:rsid w:val="00377555"/>
    <w:rsid w:val="003A60F1"/>
    <w:rsid w:val="0050268E"/>
    <w:rsid w:val="00511007"/>
    <w:rsid w:val="005B18A7"/>
    <w:rsid w:val="006A503D"/>
    <w:rsid w:val="006C205A"/>
    <w:rsid w:val="006D519E"/>
    <w:rsid w:val="00736A57"/>
    <w:rsid w:val="00783E1D"/>
    <w:rsid w:val="008206BC"/>
    <w:rsid w:val="00855EC0"/>
    <w:rsid w:val="008F5136"/>
    <w:rsid w:val="00920517"/>
    <w:rsid w:val="0099216B"/>
    <w:rsid w:val="009E1E02"/>
    <w:rsid w:val="00AD4F5A"/>
    <w:rsid w:val="00B0146E"/>
    <w:rsid w:val="00B21D2E"/>
    <w:rsid w:val="00BE4C09"/>
    <w:rsid w:val="00D85B3C"/>
    <w:rsid w:val="00DB1387"/>
    <w:rsid w:val="00E51C88"/>
    <w:rsid w:val="00E75FC7"/>
    <w:rsid w:val="00F6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59DFAE"/>
  <w15:chartTrackingRefBased/>
  <w15:docId w15:val="{3FD38C03-ACFA-4C87-AA7F-A643407A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FC7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1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8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8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DB138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7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75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Zordan Micaela</dc:creator>
  <cp:keywords/>
  <dc:description/>
  <cp:lastModifiedBy>Zordan Micaela</cp:lastModifiedBy>
  <cp:revision>26</cp:revision>
  <dcterms:created xsi:type="dcterms:W3CDTF">2025-06-25T07:32:00Z</dcterms:created>
  <dcterms:modified xsi:type="dcterms:W3CDTF">2025-06-26T08:47:00Z</dcterms:modified>
</cp:coreProperties>
</file>